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pBdr>
          <w:bottom w:val="single" w:sz="4" w:space="1" w:color="00000A"/>
        </w:pBdr>
        <w:spacing w:before="480" w:after="360"/>
        <w:ind w:left="0" w:hanging="0"/>
        <w:jc w:val="center"/>
        <w:rPr>
          <w:sz w:val="44"/>
          <w:lang w:val="fr-FR"/>
        </w:rPr>
      </w:pPr>
      <w:r>
        <w:rPr/>
        <w:drawing>
          <wp:anchor behindDoc="0" distT="0" distB="0" distL="0" distR="0" simplePos="0" locked="0" layoutInCell="1" allowOverlap="1" relativeHeight="4">
            <wp:simplePos x="0" y="0"/>
            <wp:positionH relativeFrom="column">
              <wp:posOffset>4639310</wp:posOffset>
            </wp:positionH>
            <wp:positionV relativeFrom="paragraph">
              <wp:posOffset>-615315</wp:posOffset>
            </wp:positionV>
            <wp:extent cx="1135380" cy="8794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35380" cy="879475"/>
                    </a:xfrm>
                    <a:prstGeom prst="rect">
                      <a:avLst/>
                    </a:prstGeom>
                  </pic:spPr>
                </pic:pic>
              </a:graphicData>
            </a:graphic>
          </wp:anchor>
        </w:drawing>
      </w:r>
    </w:p>
    <w:p>
      <w:pPr>
        <w:pStyle w:val="Titre1"/>
        <w:pBdr>
          <w:bottom w:val="single" w:sz="4" w:space="1" w:color="00000A"/>
        </w:pBdr>
        <w:spacing w:before="480" w:after="360"/>
        <w:ind w:left="0" w:hanging="0"/>
        <w:jc w:val="center"/>
        <w:rPr>
          <w:sz w:val="44"/>
          <w:lang w:val="fr-FR"/>
        </w:rPr>
      </w:pPr>
      <w:r>
        <w:rPr>
          <w:sz w:val="44"/>
          <w:lang w:val="fr-FR"/>
        </w:rPr>
        <w:t>FICHE D’INSTRUCTION</w:t>
      </w:r>
    </w:p>
    <w:p>
      <w:pPr>
        <w:pStyle w:val="Titre1"/>
        <w:pBdr>
          <w:bottom w:val="single" w:sz="4" w:space="1" w:color="00000A"/>
        </w:pBdr>
        <w:ind w:left="0" w:hanging="0"/>
        <w:jc w:val="center"/>
        <w:rPr>
          <w:sz w:val="44"/>
          <w:lang w:val="fr-FR"/>
        </w:rPr>
      </w:pPr>
      <w:r>
        <w:rPr>
          <w:sz w:val="44"/>
          <w:lang w:val="fr-FR"/>
        </w:rPr>
        <w:t>ACCOMPAGNEMENT DE PROJET</w:t>
      </w:r>
    </w:p>
    <w:p>
      <w:pPr>
        <w:pStyle w:val="Normal"/>
        <w:ind w:left="0" w:hanging="0"/>
        <w:jc w:val="both"/>
        <w:rPr>
          <w:lang w:val="fr-FR"/>
        </w:rPr>
      </w:pPr>
      <w:r>
        <w:rPr>
          <w:lang w:val="fr-FR"/>
        </w:rPr>
        <w:t xml:space="preserve">Lorsqu’un projet ne peut pas trouver de réponse adaptée en mobilisant les seules ressources locales en matière d’ingénierie, le délégué territorial peut formuler une demande d’accompagnement renforcé auprès du siège de l’ANCT. </w:t>
      </w:r>
    </w:p>
    <w:p>
      <w:pPr>
        <w:pStyle w:val="Normal"/>
        <w:ind w:left="0" w:hanging="0"/>
        <w:jc w:val="both"/>
        <w:rPr>
          <w:lang w:val="fr-FR"/>
        </w:rPr>
      </w:pPr>
      <w:r>
        <w:rPr>
          <w:lang w:val="fr-FR"/>
        </w:rPr>
        <w:t>Pour ce faire, le délégué territorial ou son représentant adresse sa demande au chargé de mission territorial du pôle interface via le formulaire ci-dessous, qui précise notamment :</w:t>
      </w:r>
    </w:p>
    <w:p>
      <w:pPr>
        <w:pStyle w:val="ListParagraph"/>
        <w:numPr>
          <w:ilvl w:val="0"/>
          <w:numId w:val="1"/>
        </w:numPr>
        <w:ind w:left="720" w:right="-1" w:hanging="360"/>
        <w:jc w:val="both"/>
        <w:rPr>
          <w:lang w:val="fr-FR"/>
        </w:rPr>
      </w:pPr>
      <w:r>
        <w:rPr>
          <w:lang w:val="fr-FR"/>
        </w:rPr>
        <w:t>l’intitulé du projet,</w:t>
      </w:r>
    </w:p>
    <w:p>
      <w:pPr>
        <w:pStyle w:val="ListParagraph"/>
        <w:numPr>
          <w:ilvl w:val="0"/>
          <w:numId w:val="1"/>
        </w:numPr>
        <w:ind w:left="720" w:right="-1" w:hanging="360"/>
        <w:jc w:val="both"/>
        <w:rPr>
          <w:lang w:val="fr-FR"/>
        </w:rPr>
      </w:pPr>
      <w:r>
        <w:rPr>
          <w:lang w:val="fr-FR"/>
        </w:rPr>
        <w:t>le statut et le nom du ou des porteurs du projet,</w:t>
      </w:r>
    </w:p>
    <w:p>
      <w:pPr>
        <w:pStyle w:val="ListParagraph"/>
        <w:numPr>
          <w:ilvl w:val="0"/>
          <w:numId w:val="1"/>
        </w:numPr>
        <w:ind w:left="720" w:right="-1" w:hanging="360"/>
        <w:jc w:val="both"/>
        <w:rPr>
          <w:lang w:val="fr-FR"/>
        </w:rPr>
      </w:pPr>
      <w:r>
        <w:rPr>
          <w:lang w:val="fr-FR"/>
        </w:rPr>
        <w:t>un descriptif synthétique du projet et du contexte dans lequel il se situe (origine du projet, existence d’un diagnostic, inscription éventuelle dans une contractualisation…),</w:t>
      </w:r>
    </w:p>
    <w:p>
      <w:pPr>
        <w:pStyle w:val="ListParagraph"/>
        <w:numPr>
          <w:ilvl w:val="0"/>
          <w:numId w:val="1"/>
        </w:numPr>
        <w:ind w:left="720" w:right="-1" w:hanging="360"/>
        <w:jc w:val="both"/>
        <w:rPr>
          <w:lang w:val="fr-FR"/>
        </w:rPr>
      </w:pPr>
      <w:r>
        <w:rPr>
          <w:lang w:val="fr-FR"/>
        </w:rPr>
        <w:t>le stade d’avancement du projet et, le cas échéant, l’accompagnement (financier ou autre) dont il bénéficie déjà,</w:t>
      </w:r>
    </w:p>
    <w:p>
      <w:pPr>
        <w:pStyle w:val="ListParagraph"/>
        <w:numPr>
          <w:ilvl w:val="0"/>
          <w:numId w:val="1"/>
        </w:numPr>
        <w:ind w:left="720" w:right="-1" w:hanging="360"/>
        <w:jc w:val="both"/>
        <w:rPr>
          <w:lang w:val="fr-FR"/>
        </w:rPr>
      </w:pPr>
      <w:r>
        <w:rPr>
          <w:lang w:val="fr-FR"/>
        </w:rPr>
        <w:t xml:space="preserve">la nature du besoin d’accompagnement. </w:t>
      </w:r>
    </w:p>
    <w:p>
      <w:pPr>
        <w:pStyle w:val="Normal"/>
        <w:ind w:left="0" w:hanging="0"/>
        <w:jc w:val="both"/>
        <w:rPr>
          <w:lang w:val="fr-FR"/>
        </w:rPr>
      </w:pPr>
      <w:r>
        <w:rPr>
          <w:lang w:val="fr-FR"/>
        </w:rPr>
        <w:t xml:space="preserve">Ces informations doivent permettre de constater l’insuffisance de ressource locale en ingénierie et de la fragilité économique, sociale ou démographique et financière de la collectivité porteuse du projet. </w:t>
      </w:r>
    </w:p>
    <w:p>
      <w:pPr>
        <w:pStyle w:val="Normal"/>
        <w:ind w:left="0" w:hanging="0"/>
        <w:jc w:val="both"/>
        <w:rPr>
          <w:lang w:val="fr-FR"/>
        </w:rPr>
      </w:pPr>
      <w:r>
        <w:rPr>
          <w:lang w:val="fr-FR"/>
        </w:rPr>
      </w:r>
    </w:p>
    <w:p>
      <w:pPr>
        <w:pStyle w:val="Normal"/>
        <w:ind w:left="0" w:hanging="0"/>
        <w:jc w:val="both"/>
        <w:rPr>
          <w:lang w:val="fr-FR"/>
        </w:rPr>
      </w:pPr>
      <w:r>
        <w:rPr>
          <w:lang w:val="fr-FR"/>
        </w:rPr>
      </w:r>
    </w:p>
    <w:tbl>
      <w:tblPr>
        <w:tblStyle w:val="Grilledutableau"/>
        <w:tblW w:w="10350" w:type="dxa"/>
        <w:jc w:val="left"/>
        <w:tblInd w:w="-490" w:type="dxa"/>
        <w:tblCellMar>
          <w:top w:w="0" w:type="dxa"/>
          <w:left w:w="78" w:type="dxa"/>
          <w:bottom w:w="0" w:type="dxa"/>
          <w:right w:w="108" w:type="dxa"/>
        </w:tblCellMar>
        <w:tblLook w:firstRow="1" w:noVBand="1" w:lastRow="0" w:firstColumn="1" w:lastColumn="0" w:noHBand="0" w:val="04a0"/>
      </w:tblPr>
      <w:tblGrid>
        <w:gridCol w:w="2551"/>
        <w:gridCol w:w="7798"/>
      </w:tblGrid>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 xml:space="preserve">Intitulé </w:t>
            </w:r>
          </w:p>
        </w:tc>
        <w:tc>
          <w:tcPr>
            <w:tcW w:w="7798" w:type="dxa"/>
            <w:tcBorders/>
            <w:shd w:fill="auto" w:val="clear"/>
            <w:tcMar>
              <w:left w:w="78" w:type="dxa"/>
            </w:tcMar>
          </w:tcPr>
          <w:p>
            <w:pPr>
              <w:pStyle w:val="Titre1"/>
              <w:numPr>
                <w:ilvl w:val="0"/>
                <w:numId w:val="0"/>
              </w:numPr>
              <w:spacing w:lineRule="auto" w:line="276" w:before="0" w:after="0"/>
              <w:ind w:left="0" w:hanging="0"/>
              <w:jc w:val="both"/>
              <w:outlineLvl w:val="0"/>
              <w:rPr>
                <w:rFonts w:ascii="Marianne" w:hAnsi="Marianne"/>
                <w:b w:val="false"/>
                <w:b w:val="false"/>
                <w:sz w:val="22"/>
                <w:szCs w:val="22"/>
                <w:lang w:val="fr-FR"/>
              </w:rPr>
            </w:pPr>
            <w:r>
              <w:rPr>
                <w:rFonts w:ascii="Marianne" w:hAnsi="Marianne"/>
                <w:b w:val="false"/>
                <w:sz w:val="22"/>
                <w:szCs w:val="22"/>
                <w:lang w:val="fr-FR"/>
              </w:rPr>
            </w:r>
          </w:p>
          <w:p>
            <w:pPr>
              <w:pStyle w:val="Normal"/>
              <w:numPr>
                <w:ilvl w:val="0"/>
                <w:numId w:val="0"/>
              </w:numPr>
              <w:spacing w:lineRule="auto" w:line="276" w:before="0" w:after="0"/>
              <w:ind w:left="0" w:hanging="0"/>
              <w:jc w:val="both"/>
              <w:outlineLvl w:val="0"/>
              <w:rPr>
                <w:rFonts w:ascii="Marianne" w:hAnsi="Marianne"/>
                <w:b w:val="false"/>
                <w:b w:val="false"/>
                <w:sz w:val="22"/>
                <w:szCs w:val="22"/>
                <w:lang w:val="fr-FR"/>
              </w:rPr>
            </w:pPr>
            <w:r>
              <w:rPr>
                <w:rFonts w:ascii="Marianne" w:hAnsi="Marianne"/>
                <w:b w:val="false"/>
                <w:sz w:val="22"/>
                <w:szCs w:val="22"/>
                <w:lang w:val="fr-FR"/>
              </w:rPr>
            </w:r>
          </w:p>
        </w:tc>
      </w:tr>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 xml:space="preserve">Porteur </w:t>
            </w:r>
          </w:p>
        </w:tc>
        <w:tc>
          <w:tcPr>
            <w:tcW w:w="7798" w:type="dxa"/>
            <w:tcBorders/>
            <w:shd w:fill="auto" w:val="clear"/>
            <w:tcMar>
              <w:left w:w="78" w:type="dxa"/>
            </w:tcMar>
          </w:tcPr>
          <w:p>
            <w:pPr>
              <w:pStyle w:val="Titre1"/>
              <w:numPr>
                <w:ilvl w:val="0"/>
                <w:numId w:val="0"/>
              </w:numPr>
              <w:spacing w:lineRule="auto" w:line="240" w:before="0" w:after="0"/>
              <w:ind w:left="0" w:hanging="0"/>
              <w:jc w:val="both"/>
              <w:outlineLvl w:val="0"/>
              <w:rPr>
                <w:rFonts w:ascii="Marianne" w:hAnsi="Marianne"/>
                <w:sz w:val="22"/>
                <w:szCs w:val="22"/>
              </w:rPr>
            </w:pPr>
            <w:r>
              <w:rPr>
                <w:rFonts w:ascii="Marianne" w:hAnsi="Marianne"/>
                <w:sz w:val="22"/>
                <w:szCs w:val="22"/>
              </w:rPr>
            </w:r>
          </w:p>
        </w:tc>
      </w:tr>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 xml:space="preserve">Descriptif synthétique </w:t>
            </w:r>
          </w:p>
        </w:tc>
        <w:tc>
          <w:tcPr>
            <w:tcW w:w="7798" w:type="dxa"/>
            <w:tcBorders/>
            <w:shd w:fill="auto" w:val="clear"/>
            <w:tcMar>
              <w:left w:w="78" w:type="dxa"/>
            </w:tcMar>
          </w:tcPr>
          <w:p>
            <w:pPr>
              <w:pStyle w:val="Normal"/>
              <w:spacing w:lineRule="auto" w:line="240" w:before="0" w:after="0"/>
              <w:ind w:left="0" w:hanging="0"/>
              <w:jc w:val="both"/>
              <w:rPr>
                <w:rFonts w:ascii="Marianne" w:hAnsi="Marianne"/>
                <w:sz w:val="22"/>
                <w:lang w:val="fr-FR"/>
              </w:rPr>
            </w:pPr>
            <w:r>
              <w:rPr>
                <w:rFonts w:ascii="Marianne" w:hAnsi="Marianne"/>
                <w:sz w:val="22"/>
                <w:lang w:val="fr-FR"/>
              </w:rPr>
            </w:r>
          </w:p>
        </w:tc>
      </w:tr>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Typologie de territoire et contexte territorial</w:t>
            </w:r>
          </w:p>
        </w:tc>
        <w:tc>
          <w:tcPr>
            <w:tcW w:w="7798" w:type="dxa"/>
            <w:tcBorders/>
            <w:shd w:fill="auto" w:val="clear"/>
            <w:tcMar>
              <w:left w:w="78" w:type="dxa"/>
            </w:tcMar>
          </w:tcPr>
          <w:p>
            <w:pPr>
              <w:pStyle w:val="Normal"/>
              <w:spacing w:lineRule="auto" w:line="240" w:before="0" w:after="0"/>
              <w:ind w:left="0" w:hanging="0"/>
              <w:jc w:val="both"/>
              <w:rPr>
                <w:rFonts w:ascii="Marianne" w:hAnsi="Marianne"/>
                <w:sz w:val="22"/>
                <w:szCs w:val="22"/>
              </w:rPr>
            </w:pPr>
            <w:r>
              <w:rPr>
                <w:rFonts w:ascii="Marianne" w:hAnsi="Marianne"/>
                <w:sz w:val="22"/>
                <w:szCs w:val="22"/>
              </w:rPr>
            </w:r>
          </w:p>
        </w:tc>
      </w:tr>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sz w:val="44"/>
                <w:lang w:val="fr-FR"/>
              </w:rPr>
            </w:pPr>
            <w:r>
              <w:rPr>
                <w:color w:val="FF0000"/>
                <w:szCs w:val="32"/>
                <w:lang w:val="fr-FR"/>
              </w:rPr>
              <w:t>Définition du besoin</w:t>
            </w:r>
          </w:p>
        </w:tc>
        <w:tc>
          <w:tcPr>
            <w:tcW w:w="7798" w:type="dxa"/>
            <w:tcBorders/>
            <w:shd w:fill="auto" w:val="clear"/>
            <w:tcMar>
              <w:left w:w="78" w:type="dxa"/>
            </w:tcMar>
          </w:tcPr>
          <w:p>
            <w:pPr>
              <w:pStyle w:val="Titre1"/>
              <w:numPr>
                <w:ilvl w:val="0"/>
                <w:numId w:val="0"/>
              </w:numPr>
              <w:spacing w:lineRule="auto" w:line="276" w:before="0" w:after="0"/>
              <w:ind w:left="0" w:hanging="0"/>
              <w:jc w:val="both"/>
              <w:outlineLvl w:val="0"/>
              <w:rPr>
                <w:rFonts w:ascii="Marianne" w:hAnsi="Marianne"/>
                <w:b w:val="false"/>
                <w:b w:val="false"/>
                <w:color w:val="00000A"/>
                <w:sz w:val="22"/>
                <w:szCs w:val="22"/>
                <w:lang w:val="fr-FR"/>
              </w:rPr>
            </w:pPr>
            <w:r>
              <w:rPr>
                <w:rFonts w:ascii="Marianne" w:hAnsi="Marianne"/>
                <w:b w:val="false"/>
                <w:color w:val="00000A"/>
                <w:sz w:val="22"/>
                <w:szCs w:val="22"/>
                <w:lang w:val="fr-FR"/>
              </w:rPr>
            </w:r>
          </w:p>
        </w:tc>
      </w:tr>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Première analyse du sujet</w:t>
            </w:r>
          </w:p>
        </w:tc>
        <w:tc>
          <w:tcPr>
            <w:tcW w:w="7798" w:type="dxa"/>
            <w:tcBorders/>
            <w:shd w:fill="auto" w:val="clear"/>
            <w:tcMar>
              <w:left w:w="78" w:type="dxa"/>
            </w:tcMar>
          </w:tcPr>
          <w:p>
            <w:pPr>
              <w:pStyle w:val="Normal"/>
              <w:spacing w:lineRule="auto" w:line="276" w:before="0" w:after="0"/>
              <w:ind w:left="0" w:hanging="0"/>
              <w:jc w:val="both"/>
              <w:rPr>
                <w:rFonts w:ascii="Marianne" w:hAnsi="Marianne" w:eastAsia="" w:eastAsiaTheme="majorEastAsia"/>
                <w:bCs/>
                <w:color w:val="000000" w:themeColor="text1"/>
                <w:sz w:val="22"/>
                <w:szCs w:val="22"/>
                <w:lang w:val="fr-FR"/>
              </w:rPr>
            </w:pPr>
            <w:r>
              <w:rPr>
                <w:rFonts w:eastAsia="" w:eastAsiaTheme="majorEastAsia" w:ascii="Marianne" w:hAnsi="Marianne"/>
                <w:bCs/>
                <w:color w:val="000000" w:themeColor="text1"/>
                <w:sz w:val="22"/>
                <w:szCs w:val="22"/>
                <w:lang w:val="fr-FR"/>
              </w:rPr>
            </w:r>
          </w:p>
        </w:tc>
      </w:tr>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Proposition d’intervention de l’Agence</w:t>
            </w:r>
          </w:p>
        </w:tc>
        <w:tc>
          <w:tcPr>
            <w:tcW w:w="7798" w:type="dxa"/>
            <w:tcBorders/>
            <w:shd w:fill="auto" w:val="clear"/>
            <w:tcMar>
              <w:left w:w="78" w:type="dxa"/>
            </w:tcMar>
          </w:tcPr>
          <w:p>
            <w:pPr>
              <w:pStyle w:val="Titre1"/>
              <w:numPr>
                <w:ilvl w:val="0"/>
                <w:numId w:val="0"/>
              </w:numPr>
              <w:spacing w:lineRule="auto" w:line="276" w:before="0" w:after="0"/>
              <w:ind w:left="0" w:hanging="0"/>
              <w:jc w:val="both"/>
              <w:outlineLvl w:val="0"/>
              <w:rPr>
                <w:rFonts w:ascii="Marianne" w:hAnsi="Marianne"/>
                <w:b w:val="false"/>
                <w:b w:val="false"/>
                <w:color w:val="000000" w:themeColor="text1"/>
                <w:sz w:val="22"/>
                <w:szCs w:val="22"/>
                <w:lang w:val="fr-FR"/>
              </w:rPr>
            </w:pPr>
            <w:r>
              <w:rPr>
                <w:rFonts w:ascii="Marianne" w:hAnsi="Marianne"/>
                <w:b w:val="false"/>
                <w:color w:val="000000" w:themeColor="text1"/>
                <w:sz w:val="22"/>
                <w:szCs w:val="22"/>
                <w:lang w:val="fr-FR"/>
              </w:rPr>
            </w:r>
          </w:p>
        </w:tc>
      </w:tr>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Modalités de mise en œuvre</w:t>
            </w:r>
          </w:p>
        </w:tc>
        <w:tc>
          <w:tcPr>
            <w:tcW w:w="7798" w:type="dxa"/>
            <w:tcBorders/>
            <w:shd w:fill="auto" w:val="clear"/>
            <w:tcMar>
              <w:left w:w="78" w:type="dxa"/>
            </w:tcMar>
          </w:tcPr>
          <w:p>
            <w:pPr>
              <w:pStyle w:val="Titre1"/>
              <w:numPr>
                <w:ilvl w:val="0"/>
                <w:numId w:val="0"/>
              </w:numPr>
              <w:spacing w:lineRule="auto" w:line="276" w:before="0" w:after="0"/>
              <w:ind w:left="175" w:hanging="0"/>
              <w:jc w:val="both"/>
              <w:outlineLvl w:val="0"/>
              <w:rPr>
                <w:rFonts w:ascii="Marianne" w:hAnsi="Marianne"/>
                <w:b w:val="false"/>
                <w:b w:val="false"/>
                <w:color w:val="000000" w:themeColor="text1"/>
                <w:sz w:val="22"/>
                <w:szCs w:val="22"/>
                <w:lang w:val="fr-FR"/>
              </w:rPr>
            </w:pPr>
            <w:r>
              <w:rPr>
                <w:rFonts w:ascii="Marianne" w:hAnsi="Marianne"/>
                <w:b w:val="false"/>
                <w:color w:val="000000" w:themeColor="text1"/>
                <w:sz w:val="22"/>
                <w:szCs w:val="22"/>
                <w:lang w:val="fr-FR"/>
              </w:rPr>
            </w:r>
          </w:p>
        </w:tc>
      </w:tr>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Pilotage en interne</w:t>
            </w:r>
          </w:p>
        </w:tc>
        <w:tc>
          <w:tcPr>
            <w:tcW w:w="7798" w:type="dxa"/>
            <w:tcBorders/>
            <w:shd w:fill="auto" w:val="clear"/>
            <w:tcMar>
              <w:left w:w="78" w:type="dxa"/>
            </w:tcMar>
          </w:tcPr>
          <w:p>
            <w:pPr>
              <w:pStyle w:val="Titre1"/>
              <w:numPr>
                <w:ilvl w:val="0"/>
                <w:numId w:val="0"/>
              </w:numPr>
              <w:spacing w:lineRule="auto" w:line="276" w:before="0" w:after="0"/>
              <w:ind w:left="0" w:hanging="0"/>
              <w:jc w:val="both"/>
              <w:outlineLvl w:val="0"/>
              <w:rPr>
                <w:rFonts w:ascii="Calibri" w:hAnsi="Calibri" w:asciiTheme="minorHAnsi" w:hAnsiTheme="minorHAnsi"/>
                <w:b w:val="false"/>
                <w:b w:val="false"/>
                <w:color w:val="000000" w:themeColor="text1"/>
                <w:sz w:val="22"/>
                <w:szCs w:val="22"/>
                <w:lang w:val="fr-FR"/>
              </w:rPr>
            </w:pPr>
            <w:r>
              <w:rPr>
                <w:rFonts w:asciiTheme="minorHAnsi" w:hAnsiTheme="minorHAnsi" w:ascii="Calibri" w:hAnsi="Calibri"/>
                <w:b w:val="false"/>
                <w:color w:val="000000" w:themeColor="text1"/>
                <w:sz w:val="22"/>
                <w:szCs w:val="22"/>
                <w:lang w:val="fr-FR"/>
              </w:rPr>
            </w:r>
          </w:p>
        </w:tc>
      </w:tr>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Ressources mobilisées</w:t>
            </w:r>
          </w:p>
        </w:tc>
        <w:tc>
          <w:tcPr>
            <w:tcW w:w="7798" w:type="dxa"/>
            <w:tcBorders/>
            <w:shd w:fill="auto" w:val="clear"/>
            <w:tcMar>
              <w:left w:w="78" w:type="dxa"/>
            </w:tcMar>
          </w:tcPr>
          <w:p>
            <w:pPr>
              <w:pStyle w:val="Titre1"/>
              <w:numPr>
                <w:ilvl w:val="0"/>
                <w:numId w:val="0"/>
              </w:numPr>
              <w:spacing w:lineRule="auto" w:line="276" w:before="0" w:after="0"/>
              <w:ind w:left="0" w:hanging="0"/>
              <w:jc w:val="both"/>
              <w:outlineLvl w:val="0"/>
              <w:rPr>
                <w:rFonts w:ascii="Calibri" w:hAnsi="Calibri" w:asciiTheme="minorHAnsi" w:hAnsiTheme="minorHAnsi"/>
                <w:b w:val="false"/>
                <w:b w:val="false"/>
                <w:color w:val="000000" w:themeColor="text1"/>
                <w:sz w:val="22"/>
                <w:szCs w:val="22"/>
                <w:lang w:val="fr-FR"/>
              </w:rPr>
            </w:pPr>
            <w:r>
              <w:rPr>
                <w:rFonts w:asciiTheme="minorHAnsi" w:hAnsiTheme="minorHAnsi" w:ascii="Calibri" w:hAnsi="Calibri"/>
                <w:b w:val="false"/>
                <w:color w:val="000000" w:themeColor="text1"/>
                <w:sz w:val="22"/>
                <w:szCs w:val="22"/>
                <w:lang w:val="fr-FR"/>
              </w:rPr>
            </w:r>
          </w:p>
        </w:tc>
      </w:tr>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Calendrier prévisionnel</w:t>
            </w:r>
          </w:p>
        </w:tc>
        <w:tc>
          <w:tcPr>
            <w:tcW w:w="7798" w:type="dxa"/>
            <w:tcBorders/>
            <w:shd w:fill="auto" w:val="clear"/>
            <w:tcMar>
              <w:left w:w="78" w:type="dxa"/>
            </w:tcMar>
          </w:tcPr>
          <w:p>
            <w:pPr>
              <w:pStyle w:val="Titre1"/>
              <w:numPr>
                <w:ilvl w:val="0"/>
                <w:numId w:val="0"/>
              </w:numPr>
              <w:spacing w:lineRule="auto" w:line="276" w:before="0" w:after="0"/>
              <w:ind w:left="0" w:hanging="0"/>
              <w:jc w:val="both"/>
              <w:outlineLvl w:val="0"/>
              <w:rPr>
                <w:rFonts w:ascii="Marianne" w:hAnsi="Marianne"/>
                <w:b w:val="false"/>
                <w:b w:val="false"/>
                <w:color w:val="000000" w:themeColor="text1"/>
                <w:sz w:val="22"/>
                <w:szCs w:val="22"/>
                <w:lang w:val="fr-FR"/>
              </w:rPr>
            </w:pPr>
            <w:r>
              <w:rPr>
                <w:rFonts w:ascii="Marianne" w:hAnsi="Marianne"/>
                <w:b w:val="false"/>
                <w:color w:val="000000" w:themeColor="text1"/>
                <w:sz w:val="22"/>
                <w:szCs w:val="22"/>
                <w:lang w:val="fr-FR"/>
              </w:rPr>
            </w:r>
          </w:p>
        </w:tc>
      </w:tr>
      <w:tr>
        <w:trPr>
          <w:trHeight w:val="155" w:hRule="atLeast"/>
        </w:trPr>
        <w:tc>
          <w:tcPr>
            <w:tcW w:w="2551" w:type="dxa"/>
            <w:tcBorders/>
            <w:shd w:fill="auto" w:val="clear"/>
            <w:tcMar>
              <w:left w:w="7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Acteurs impliqués ou à impliquer</w:t>
            </w:r>
          </w:p>
        </w:tc>
        <w:tc>
          <w:tcPr>
            <w:tcW w:w="7798" w:type="dxa"/>
            <w:tcBorders/>
            <w:shd w:fill="auto" w:val="clear"/>
            <w:tcMar>
              <w:left w:w="78" w:type="dxa"/>
            </w:tcMar>
          </w:tcPr>
          <w:p>
            <w:pPr>
              <w:pStyle w:val="Normal"/>
              <w:spacing w:lineRule="auto" w:line="240" w:before="0" w:after="0"/>
              <w:ind w:left="0" w:hanging="0"/>
              <w:jc w:val="both"/>
              <w:rPr>
                <w:rFonts w:ascii="Marianne" w:hAnsi="Marianne" w:eastAsia="" w:eastAsiaTheme="majorEastAsia"/>
                <w:bCs/>
                <w:color w:val="000000" w:themeColor="text1"/>
                <w:sz w:val="22"/>
                <w:lang w:val="fr-FR"/>
              </w:rPr>
            </w:pPr>
            <w:r>
              <w:rPr>
                <w:rFonts w:eastAsia="" w:eastAsiaTheme="majorEastAsia" w:ascii="Marianne" w:hAnsi="Marianne"/>
                <w:bCs/>
                <w:color w:val="000000" w:themeColor="text1"/>
                <w:sz w:val="22"/>
                <w:lang w:val="fr-FR"/>
              </w:rPr>
            </w:r>
          </w:p>
        </w:tc>
      </w:tr>
    </w:tbl>
    <w:p>
      <w:pPr>
        <w:pStyle w:val="Normal"/>
        <w:ind w:left="-567" w:hanging="0"/>
        <w:rPr>
          <w:rFonts w:eastAsia="" w:eastAsiaTheme="majorEastAsia"/>
          <w:b/>
          <w:b/>
          <w:bCs/>
          <w:color w:val="293173"/>
          <w:sz w:val="44"/>
          <w:szCs w:val="28"/>
          <w:lang w:val="fr-FR"/>
        </w:rPr>
      </w:pPr>
      <w:r>
        <w:rPr>
          <w:rFonts w:eastAsia="" w:eastAsiaTheme="majorEastAsia"/>
          <w:b/>
          <w:bCs/>
          <w:color w:val="293173"/>
          <w:sz w:val="44"/>
          <w:szCs w:val="28"/>
          <w:lang w:val="fr-FR"/>
        </w:rPr>
      </w:r>
    </w:p>
    <w:p>
      <w:pPr>
        <w:pStyle w:val="Normal"/>
        <w:spacing w:before="0" w:after="200"/>
        <w:ind w:left="-567" w:hanging="0"/>
        <w:rPr/>
      </w:pPr>
      <w:r>
        <w:rPr>
          <w:rFonts w:eastAsia="" w:eastAsiaTheme="majorEastAsia"/>
          <w:b/>
          <w:bCs/>
          <w:color w:val="293173"/>
          <w:sz w:val="32"/>
          <w:szCs w:val="32"/>
          <w:lang w:val="fr-FR"/>
        </w:rPr>
        <w:t xml:space="preserve">Proposition d’accompagnement par l’ANCT </w:t>
      </w:r>
      <w:r>
        <w:rPr>
          <w:rFonts w:eastAsia="" w:eastAsiaTheme="majorEastAsia"/>
          <w:bCs/>
          <w:i/>
          <w:color w:val="293173"/>
          <w:sz w:val="32"/>
          <w:szCs w:val="32"/>
          <w:lang w:val="fr-FR"/>
        </w:rPr>
        <w:t>(à remplir par le Pôle interface et contrats territoriaux)</w:t>
      </w:r>
      <w:r>
        <w:rPr>
          <w:rFonts w:eastAsia="" w:eastAsiaTheme="majorEastAsia"/>
          <w:b/>
          <w:bCs/>
          <w:color w:val="293173"/>
          <w:sz w:val="32"/>
          <w:szCs w:val="32"/>
          <w:lang w:val="fr-FR"/>
        </w:rPr>
        <w:t> :</w:t>
      </w:r>
    </w:p>
    <w:sectPr>
      <w:headerReference w:type="default" r:id="rId3"/>
      <w:headerReference w:type="first" r:id="rId4"/>
      <w:footerReference w:type="default" r:id="rId5"/>
      <w:type w:val="nextPage"/>
      <w:pgSz w:w="11906" w:h="16838"/>
      <w:pgMar w:left="1418" w:right="1133" w:header="680" w:top="2523"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Marianne">
    <w:charset w:val="00"/>
    <w:family w:val="roman"/>
    <w:pitch w:val="variable"/>
  </w:font>
  <w:font w:name="Marianne">
    <w:charset w:val="01"/>
    <w:family w:val="moder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spacing w:val="40"/>
        <w:sz w:val="14"/>
        <w:lang w:val="fr-FR"/>
      </w:rPr>
    </w:pPr>
    <w:r>
      <w:rPr>
        <w:spacing w:val="40"/>
        <w:sz w:val="14"/>
        <w:lang w:val="fr-FR"/>
      </w:rPr>
      <w:t>AGENCE NATIONALE DE LA COHÉSION DES TERRITOIRES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left="0" w:hanging="0"/>
      <w:rPr/>
    </w:pPr>
    <w:r>
      <w:rPr/>
      <w:drawing>
        <wp:anchor behindDoc="1" distT="0" distB="8890" distL="114300" distR="115570" simplePos="0" locked="0" layoutInCell="1" allowOverlap="1" relativeHeight="3">
          <wp:simplePos x="0" y="0"/>
          <wp:positionH relativeFrom="column">
            <wp:posOffset>-891540</wp:posOffset>
          </wp:positionH>
          <wp:positionV relativeFrom="paragraph">
            <wp:posOffset>-431165</wp:posOffset>
          </wp:positionV>
          <wp:extent cx="7560310" cy="829310"/>
          <wp:effectExtent l="0" t="0" r="0" b="0"/>
          <wp:wrapNone/>
          <wp:docPr id="2"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
                  <pic:cNvPicPr>
                    <a:picLocks noChangeAspect="1" noChangeArrowheads="1"/>
                  </pic:cNvPicPr>
                </pic:nvPicPr>
                <pic:blipFill>
                  <a:blip r:embed="rId1"/>
                  <a:stretch>
                    <a:fillRect/>
                  </a:stretch>
                </pic:blipFill>
                <pic:spPr bwMode="auto">
                  <a:xfrm>
                    <a:off x="0" y="0"/>
                    <a:ext cx="7560310" cy="82931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114300" distR="114300" simplePos="0" locked="0" layoutInCell="1" allowOverlap="1" relativeHeight="2">
          <wp:simplePos x="0" y="0"/>
          <wp:positionH relativeFrom="column">
            <wp:posOffset>-910590</wp:posOffset>
          </wp:positionH>
          <wp:positionV relativeFrom="paragraph">
            <wp:posOffset>-431800</wp:posOffset>
          </wp:positionV>
          <wp:extent cx="7560310" cy="2025650"/>
          <wp:effectExtent l="0" t="0" r="0" b="0"/>
          <wp:wrapTopAndBottom/>
          <wp:docPr id="3"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
                  <pic:cNvPicPr>
                    <a:picLocks noChangeAspect="1" noChangeArrowheads="1"/>
                  </pic:cNvPicPr>
                </pic:nvPicPr>
                <pic:blipFill>
                  <a:blip r:embed="rId1"/>
                  <a:stretch>
                    <a:fillRect/>
                  </a:stretch>
                </pic:blipFill>
                <pic:spPr bwMode="auto">
                  <a:xfrm>
                    <a:off x="0" y="0"/>
                    <a:ext cx="7560310" cy="20256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Marianne" w:hAnsi="Marianne" w:cs="Marianne"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1cb9"/>
    <w:pPr>
      <w:widowControl/>
      <w:bidi w:val="0"/>
      <w:spacing w:lineRule="auto" w:line="324" w:before="0" w:after="200"/>
      <w:ind w:left="992" w:hanging="0"/>
      <w:jc w:val="left"/>
    </w:pPr>
    <w:rPr>
      <w:rFonts w:ascii="Arial" w:hAnsi="Arial" w:eastAsia="Calibri" w:cs="Arial" w:eastAsiaTheme="minorHAnsi"/>
      <w:color w:val="00000A"/>
      <w:kern w:val="0"/>
      <w:sz w:val="20"/>
      <w:szCs w:val="22"/>
      <w:lang w:val="en-US" w:eastAsia="en-US" w:bidi="ar-SA"/>
    </w:rPr>
  </w:style>
  <w:style w:type="paragraph" w:styleId="Titre1">
    <w:name w:val="Heading 1"/>
    <w:basedOn w:val="Normal"/>
    <w:next w:val="Normal"/>
    <w:link w:val="Titre1Car"/>
    <w:uiPriority w:val="9"/>
    <w:qFormat/>
    <w:rsid w:val="009b4185"/>
    <w:pPr>
      <w:keepNext w:val="true"/>
      <w:keepLines/>
      <w:spacing w:lineRule="auto" w:line="240" w:before="480" w:after="360"/>
      <w:outlineLvl w:val="0"/>
    </w:pPr>
    <w:rPr>
      <w:rFonts w:eastAsia="" w:eastAsiaTheme="majorEastAsia"/>
      <w:b/>
      <w:bCs/>
      <w:color w:val="293173"/>
      <w:sz w:val="32"/>
      <w:szCs w:val="28"/>
    </w:rPr>
  </w:style>
  <w:style w:type="paragraph" w:styleId="Titre2">
    <w:name w:val="Heading 2"/>
    <w:basedOn w:val="Titre1"/>
    <w:next w:val="Normal"/>
    <w:link w:val="Titre2Car"/>
    <w:uiPriority w:val="9"/>
    <w:unhideWhenUsed/>
    <w:qFormat/>
    <w:rsid w:val="009f1cb9"/>
    <w:pPr>
      <w:spacing w:before="480" w:after="240"/>
      <w:outlineLvl w:val="1"/>
    </w:pPr>
    <w:rPr>
      <w:color w:val="E10814"/>
      <w:sz w:val="28"/>
      <w:lang w:val="fr-FR"/>
    </w:rPr>
  </w:style>
  <w:style w:type="paragraph" w:styleId="Titre3">
    <w:name w:val="Heading 3"/>
    <w:basedOn w:val="Normal"/>
    <w:next w:val="Normal"/>
    <w:link w:val="Titre3Car"/>
    <w:uiPriority w:val="9"/>
    <w:unhideWhenUsed/>
    <w:qFormat/>
    <w:rsid w:val="009f1cb9"/>
    <w:pPr>
      <w:ind w:left="993" w:hanging="0"/>
      <w:outlineLvl w:val="2"/>
    </w:pPr>
    <w:rPr>
      <w:b/>
      <w:caps/>
      <w:color w:val="293173"/>
      <w:lang w:val="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e3276"/>
    <w:rPr/>
  </w:style>
  <w:style w:type="character" w:styleId="PieddepageCar" w:customStyle="1">
    <w:name w:val="Pied de page Car"/>
    <w:basedOn w:val="DefaultParagraphFont"/>
    <w:link w:val="Pieddepage"/>
    <w:uiPriority w:val="99"/>
    <w:qFormat/>
    <w:rsid w:val="001e3276"/>
    <w:rPr/>
  </w:style>
  <w:style w:type="character" w:styleId="TextedebullesCar" w:customStyle="1">
    <w:name w:val="Texte de bulles Car"/>
    <w:basedOn w:val="DefaultParagraphFont"/>
    <w:link w:val="Textedebulles"/>
    <w:uiPriority w:val="99"/>
    <w:semiHidden/>
    <w:qFormat/>
    <w:rsid w:val="001e3276"/>
    <w:rPr>
      <w:rFonts w:ascii="Tahoma" w:hAnsi="Tahoma" w:cs="Tahoma"/>
      <w:sz w:val="16"/>
      <w:szCs w:val="16"/>
    </w:rPr>
  </w:style>
  <w:style w:type="character" w:styleId="Titre1Car" w:customStyle="1">
    <w:name w:val="Titre 1 Car"/>
    <w:basedOn w:val="DefaultParagraphFont"/>
    <w:link w:val="Titre1"/>
    <w:uiPriority w:val="9"/>
    <w:qFormat/>
    <w:rsid w:val="009b4185"/>
    <w:rPr>
      <w:rFonts w:ascii="Arial" w:hAnsi="Arial" w:eastAsia="" w:cs="Arial" w:eastAsiaTheme="majorEastAsia"/>
      <w:b/>
      <w:bCs/>
      <w:color w:val="293173"/>
      <w:sz w:val="32"/>
      <w:szCs w:val="28"/>
      <w:lang w:val="en-US"/>
    </w:rPr>
  </w:style>
  <w:style w:type="character" w:styleId="Titre2Car" w:customStyle="1">
    <w:name w:val="Titre 2 Car"/>
    <w:basedOn w:val="DefaultParagraphFont"/>
    <w:link w:val="Titre2"/>
    <w:uiPriority w:val="9"/>
    <w:qFormat/>
    <w:rsid w:val="009f1cb9"/>
    <w:rPr>
      <w:rFonts w:ascii="Arial" w:hAnsi="Arial" w:eastAsia="" w:cs="Arial" w:eastAsiaTheme="majorEastAsia"/>
      <w:b/>
      <w:bCs/>
      <w:color w:val="E10814"/>
      <w:sz w:val="28"/>
      <w:szCs w:val="28"/>
    </w:rPr>
  </w:style>
  <w:style w:type="character" w:styleId="Titre3Car" w:customStyle="1">
    <w:name w:val="Titre 3 Car"/>
    <w:basedOn w:val="DefaultParagraphFont"/>
    <w:link w:val="Titre3"/>
    <w:uiPriority w:val="9"/>
    <w:qFormat/>
    <w:rsid w:val="009f1cb9"/>
    <w:rPr>
      <w:rFonts w:ascii="Arial" w:hAnsi="Arial" w:cs="Arial"/>
      <w:b/>
      <w:caps/>
      <w:color w:val="293173"/>
      <w:sz w:val="20"/>
    </w:rPr>
  </w:style>
  <w:style w:type="character" w:styleId="LienInternet">
    <w:name w:val="Lien Internet"/>
    <w:basedOn w:val="DefaultParagraphFont"/>
    <w:uiPriority w:val="99"/>
    <w:unhideWhenUsed/>
    <w:rsid w:val="00777733"/>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Arial"/>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rFonts w:eastAsia="Calibri" w:cs="Aria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Aria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Aria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Aria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Aria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Aria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Aria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1e3276"/>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e3276"/>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1e3276"/>
    <w:pPr>
      <w:spacing w:lineRule="auto" w:line="240" w:before="0" w:after="0"/>
    </w:pPr>
    <w:rPr>
      <w:rFonts w:ascii="Tahoma" w:hAnsi="Tahoma" w:cs="Tahoma"/>
      <w:sz w:val="16"/>
      <w:szCs w:val="16"/>
    </w:rPr>
  </w:style>
  <w:style w:type="paragraph" w:styleId="NoSpacing">
    <w:name w:val="No Spacing"/>
    <w:basedOn w:val="Normal"/>
    <w:uiPriority w:val="1"/>
    <w:qFormat/>
    <w:rsid w:val="009f1cb9"/>
    <w:pPr>
      <w:spacing w:before="0" w:after="0"/>
      <w:ind w:left="993" w:hanging="0"/>
    </w:pPr>
    <w:rPr>
      <w:lang w:val="fr-FR"/>
    </w:rPr>
  </w:style>
  <w:style w:type="paragraph" w:styleId="ListParagraph">
    <w:name w:val="List Paragraph"/>
    <w:basedOn w:val="Normal"/>
    <w:uiPriority w:val="34"/>
    <w:qFormat/>
    <w:rsid w:val="00777733"/>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e315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39DA-1254-489E-8EF6-3DCF2447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2</Pages>
  <Words>217</Words>
  <Characters>1302</Characters>
  <CharactersWithSpaces>1496</CharactersWithSpaces>
  <Paragraphs>24</Paragraphs>
  <Company>Datar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2022-02-16T11:16:59Z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Datar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